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ED" w:rsidRPr="00C07A9A" w:rsidRDefault="003509ED"/>
    <w:tbl>
      <w:tblPr>
        <w:tblW w:w="187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123"/>
        <w:gridCol w:w="57"/>
        <w:gridCol w:w="160"/>
        <w:gridCol w:w="65"/>
        <w:gridCol w:w="289"/>
        <w:gridCol w:w="1129"/>
        <w:gridCol w:w="1256"/>
        <w:gridCol w:w="38"/>
        <w:gridCol w:w="122"/>
        <w:gridCol w:w="432"/>
        <w:gridCol w:w="425"/>
        <w:gridCol w:w="281"/>
        <w:gridCol w:w="848"/>
        <w:gridCol w:w="853"/>
        <w:gridCol w:w="711"/>
        <w:gridCol w:w="1276"/>
        <w:gridCol w:w="142"/>
        <w:gridCol w:w="1417"/>
        <w:gridCol w:w="851"/>
        <w:gridCol w:w="427"/>
        <w:gridCol w:w="160"/>
        <w:gridCol w:w="121"/>
        <w:gridCol w:w="567"/>
        <w:gridCol w:w="137"/>
        <w:gridCol w:w="685"/>
        <w:gridCol w:w="171"/>
        <w:gridCol w:w="567"/>
        <w:gridCol w:w="1289"/>
      </w:tblGrid>
      <w:tr w:rsidR="00EA670C" w:rsidRPr="00C07A9A" w:rsidTr="00C07A9A">
        <w:trPr>
          <w:divId w:val="153690455"/>
          <w:trHeight w:val="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509ED" w:rsidRPr="00C07A9A" w:rsidTr="00EA670C">
        <w:trPr>
          <w:divId w:val="153690455"/>
          <w:trHeight w:val="439"/>
        </w:trPr>
        <w:tc>
          <w:tcPr>
            <w:tcW w:w="18725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  <w:t xml:space="preserve">Planificación de la praxis docente - </w:t>
            </w:r>
            <w:proofErr w:type="spellStart"/>
            <w:r w:rsidRPr="00C07A9A"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  <w:t>Milenium</w:t>
            </w:r>
            <w:proofErr w:type="spellEnd"/>
            <w:r w:rsidRPr="00C07A9A"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  <w:t xml:space="preserve"> </w:t>
            </w:r>
          </w:p>
        </w:tc>
      </w:tr>
      <w:tr w:rsidR="003509ED" w:rsidRPr="00C07A9A" w:rsidTr="00EA670C">
        <w:trPr>
          <w:divId w:val="153690455"/>
          <w:trHeight w:val="450"/>
        </w:trPr>
        <w:tc>
          <w:tcPr>
            <w:tcW w:w="18725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</w:pPr>
          </w:p>
        </w:tc>
      </w:tr>
      <w:tr w:rsidR="00EA670C" w:rsidRPr="00C07A9A" w:rsidTr="00C07A9A">
        <w:trPr>
          <w:divId w:val="153690455"/>
          <w:trHeight w:val="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i/>
                <w:iCs/>
                <w:color w:val="2F5496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509ED" w:rsidRPr="00C07A9A" w:rsidTr="00EA670C">
        <w:trPr>
          <w:divId w:val="153690455"/>
          <w:trHeight w:val="55"/>
        </w:trPr>
        <w:tc>
          <w:tcPr>
            <w:tcW w:w="18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bottom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 </w:t>
            </w:r>
          </w:p>
        </w:tc>
      </w:tr>
      <w:tr w:rsidR="00EA670C" w:rsidRPr="00C07A9A" w:rsidTr="00C07A9A">
        <w:trPr>
          <w:divId w:val="153690455"/>
          <w:trHeight w:val="7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Asignatura:  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9DBEC" w:fill="D9E1F2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 xml:space="preserve">Nombre de la asignatura que se desarrollará 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Periodo:</w:t>
            </w:r>
          </w:p>
        </w:tc>
        <w:tc>
          <w:tcPr>
            <w:tcW w:w="21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9DBEC" w:fill="D9E1F2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 xml:space="preserve">Se refiere al periodo que cursa </w:t>
            </w:r>
          </w:p>
        </w:tc>
        <w:tc>
          <w:tcPr>
            <w:tcW w:w="2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Programa educativo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9DBEC" w:fill="D9E1F2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EJ. Arquitectura, Ing. Industrial, Desarrollo Pedagógico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Nivel:</w:t>
            </w:r>
          </w:p>
        </w:tc>
        <w:tc>
          <w:tcPr>
            <w:tcW w:w="28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9DBEC" w:fill="D9E1F2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Se refiere al nivel: Licenciatura, Maestría o Doctorado</w:t>
            </w:r>
          </w:p>
        </w:tc>
      </w:tr>
      <w:tr w:rsidR="003509ED" w:rsidRPr="00C07A9A" w:rsidTr="00C07A9A">
        <w:trPr>
          <w:divId w:val="153690455"/>
          <w:trHeight w:val="8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Vinculación con otras Asignaturas: </w:t>
            </w:r>
          </w:p>
        </w:tc>
        <w:tc>
          <w:tcPr>
            <w:tcW w:w="16599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9DBEC" w:fill="D9E1F2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 xml:space="preserve">Son aquellas asignaturas que anteceden y que preceden a la actual. </w:t>
            </w:r>
          </w:p>
        </w:tc>
      </w:tr>
      <w:tr w:rsidR="00EA670C" w:rsidRPr="00C07A9A" w:rsidTr="00C07A9A">
        <w:trPr>
          <w:divId w:val="153690455"/>
          <w:trHeight w:val="84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Pilares de la educación: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9DBEC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Ser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Conocer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Hacer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Convivir</w:t>
            </w:r>
          </w:p>
        </w:tc>
        <w:tc>
          <w:tcPr>
            <w:tcW w:w="4124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532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Transformarse uno y a la sociedad</w:t>
            </w: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</w:r>
          </w:p>
        </w:tc>
      </w:tr>
      <w:tr w:rsidR="00896E22" w:rsidRPr="00C07A9A" w:rsidTr="00C07A9A">
        <w:trPr>
          <w:divId w:val="153690455"/>
          <w:trHeight w:val="6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Inteligencias a Desarrollar: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Lingüística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Lógico matemática</w:t>
            </w:r>
          </w:p>
        </w:tc>
        <w:tc>
          <w:tcPr>
            <w:tcW w:w="184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Espacial </w:t>
            </w:r>
          </w:p>
        </w:tc>
        <w:tc>
          <w:tcPr>
            <w:tcW w:w="311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Musical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5323FE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Corporal cinestésico</w:t>
            </w: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Emocional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Naturalista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Espiritual</w:t>
            </w:r>
          </w:p>
        </w:tc>
      </w:tr>
      <w:tr w:rsidR="00EA670C" w:rsidRPr="00C07A9A" w:rsidTr="00C07A9A">
        <w:trPr>
          <w:divId w:val="153690455"/>
          <w:trHeight w:val="9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Intrapersonal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Interpersonal</w:t>
            </w:r>
          </w:p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3509ED" w:rsidRPr="00C07A9A" w:rsidTr="00C07A9A">
        <w:trPr>
          <w:divId w:val="153690455"/>
          <w:trHeight w:val="269"/>
        </w:trPr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Competencia para desarrollar las </w:t>
            </w:r>
            <w:proofErr w:type="spellStart"/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Soft</w:t>
            </w:r>
            <w:proofErr w:type="spellEnd"/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Skills</w:t>
            </w:r>
            <w:proofErr w:type="spellEnd"/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mediante el diagnóstico otorgado por el Departamento psicopedagógico</w:t>
            </w:r>
          </w:p>
        </w:tc>
        <w:tc>
          <w:tcPr>
            <w:tcW w:w="16599" w:type="dxa"/>
            <w:gridSpan w:val="2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DBEC" w:fill="D9E1F2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 xml:space="preserve">Se tomarán del documento </w:t>
            </w:r>
            <w:proofErr w:type="spellStart"/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Soft</w:t>
            </w:r>
            <w:proofErr w:type="spellEnd"/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 xml:space="preserve"> </w:t>
            </w:r>
            <w:proofErr w:type="spellStart"/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Skills</w:t>
            </w:r>
            <w:proofErr w:type="spellEnd"/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, las cuales buscarán contribuir a la formación de nuestros estudiantes de forma integral</w:t>
            </w:r>
          </w:p>
        </w:tc>
      </w:tr>
      <w:tr w:rsidR="003509ED" w:rsidRPr="00C07A9A" w:rsidTr="00C07A9A">
        <w:trPr>
          <w:divId w:val="153690455"/>
          <w:trHeight w:val="450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599" w:type="dxa"/>
            <w:gridSpan w:val="2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</w:p>
        </w:tc>
      </w:tr>
      <w:tr w:rsidR="003509ED" w:rsidRPr="00C07A9A" w:rsidTr="00C07A9A">
        <w:trPr>
          <w:divId w:val="153690455"/>
          <w:trHeight w:val="319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Recomendaciones en los espacios formativos</w:t>
            </w:r>
          </w:p>
        </w:tc>
        <w:tc>
          <w:tcPr>
            <w:tcW w:w="16599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9DBEC" w:fill="D9E1F2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Revisar el procedimiento del </w:t>
            </w:r>
            <w:proofErr w:type="spellStart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>FeedBack</w:t>
            </w:r>
            <w:proofErr w:type="spellEnd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valorativo del CEO y considerar en cada sesión el Aprendizaje Invertido usando la </w:t>
            </w:r>
            <w:proofErr w:type="spellStart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>gamificación</w:t>
            </w:r>
            <w:proofErr w:type="spellEnd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para la promoción del aprendizaje. </w:t>
            </w:r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br/>
              <w:t xml:space="preserve">1. </w:t>
            </w:r>
            <w:proofErr w:type="spellStart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>Rapport</w:t>
            </w:r>
            <w:proofErr w:type="spellEnd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sobre los aprendizajes previos. </w:t>
            </w:r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br/>
              <w:t>2. Estrategias que impulsan el dinamismo y la construcción del aprendizaje significativo poniendo en práctica las competencias perseguidas.</w:t>
            </w:r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br/>
              <w:t xml:space="preserve">3. Cierre de la sesión de trabajo y puesta en marcha de las escalas de valoración tanto de la sesión como auto-evaluaciones, </w:t>
            </w:r>
            <w:proofErr w:type="spellStart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>co</w:t>
            </w:r>
            <w:proofErr w:type="spellEnd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-evaluaciones y </w:t>
            </w:r>
            <w:proofErr w:type="spellStart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>hetero</w:t>
            </w:r>
            <w:proofErr w:type="spellEnd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-evaluaciones. </w:t>
            </w:r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br/>
              <w:t xml:space="preserve">Todo ello a través de las premisas de creatividad e innovación docente e </w:t>
            </w:r>
            <w:r w:rsidR="001272CC"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>“</w:t>
            </w:r>
            <w:proofErr w:type="spellStart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>imagination</w:t>
            </w:r>
            <w:proofErr w:type="spellEnd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</w:t>
            </w:r>
            <w:proofErr w:type="spellStart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>for</w:t>
            </w:r>
            <w:proofErr w:type="spellEnd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</w:t>
            </w:r>
            <w:proofErr w:type="spellStart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>making</w:t>
            </w:r>
            <w:proofErr w:type="spellEnd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 xml:space="preserve"> </w:t>
            </w:r>
            <w:proofErr w:type="spellStart"/>
            <w:r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>learning</w:t>
            </w:r>
            <w:proofErr w:type="spellEnd"/>
            <w:r w:rsidR="001272CC" w:rsidRPr="00C07A9A">
              <w:rPr>
                <w:rFonts w:ascii="Calibri" w:eastAsia="Times New Roman" w:hAnsi="Calibri" w:cs="Calibri"/>
                <w:i/>
                <w:iCs/>
                <w:lang w:eastAsia="es-MX"/>
              </w:rPr>
              <w:t>”</w:t>
            </w:r>
          </w:p>
          <w:p w:rsidR="00EA670C" w:rsidRPr="00C07A9A" w:rsidRDefault="00EA670C" w:rsidP="003509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MX"/>
              </w:rPr>
            </w:pPr>
          </w:p>
          <w:p w:rsidR="00EA670C" w:rsidRPr="00C07A9A" w:rsidRDefault="00EA670C" w:rsidP="003509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MX"/>
              </w:rPr>
            </w:pPr>
          </w:p>
          <w:p w:rsidR="00EA670C" w:rsidRPr="00C07A9A" w:rsidRDefault="00EA670C" w:rsidP="003509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MX"/>
              </w:rPr>
            </w:pPr>
          </w:p>
        </w:tc>
      </w:tr>
      <w:tr w:rsidR="00EA670C" w:rsidRPr="00C07A9A" w:rsidTr="00C07A9A">
        <w:trPr>
          <w:divId w:val="153690455"/>
          <w:trHeight w:val="29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 xml:space="preserve"> Programa, Proyecto  y/o Evento Institucional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noWrap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Contenido Temático</w:t>
            </w:r>
          </w:p>
        </w:tc>
        <w:tc>
          <w:tcPr>
            <w:tcW w:w="32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¿Qué técnicas de Innovación Educativa y Metodologías de Aprendizaje y de Autogestión del Aprendizaje voy a utilizar durante la asignatura?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¿Qué estrategias didácticas de aprendizaje aplicó para promover los medios tecnológicos  (Habilidades digitales a fortalecer)?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¿Cómo promuevo la Creatividad, Investigación, Innovación y Emprendimiento en mis estudiantes?</w:t>
            </w:r>
          </w:p>
        </w:tc>
        <w:tc>
          <w:tcPr>
            <w:tcW w:w="4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¿Qué productos / Construcción del Conocimiento /</w:t>
            </w:r>
            <w:r w:rsidR="00CA1910"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Evidencias de aprendizaje/</w:t>
            </w: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Aprendizaje Significativo obtendré de esta asignatura que impacten en la creatividad, investigación, innovación y emprendimiento?</w:t>
            </w:r>
          </w:p>
        </w:tc>
      </w:tr>
      <w:tr w:rsidR="00EA670C" w:rsidRPr="00C07A9A" w:rsidTr="00C07A9A">
        <w:trPr>
          <w:divId w:val="153690455"/>
          <w:trHeight w:val="29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Aquí se colocarán los programas, proyectos y/o eventos institucionales programados en la agenda de Rectoría del campus.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Ej.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1. Foro Institucional de Investigación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DD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/MM/AA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2. Día Internacional de la Mujer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DD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/MM/AA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3. Presentación de Maquetas de Arquitectura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DD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/MM/AA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Aquí se colocará el contenido temático establecido en el programa de la asignatura. Éste se distribuirá por periodos según el docente.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Por ejemplo: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Primera Sesión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DD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/MM/AA 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 1.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1.1.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1.2.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</w:p>
        </w:tc>
        <w:tc>
          <w:tcPr>
            <w:tcW w:w="32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Todas aquellas que promueven un aprendizaje dinámico, analítico, reflexivo y crítico.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Ej. Análisis de casos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Ej. Aprendizaje basado en proyectos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Ej. Simulaciones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Ej. Prácticas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La estructura para realizar estrategias didácticas según el bloque temático establecido  responderá a: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1. Vincular la metodología de aprendizaje que se tomará en cuenta.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2. Establecer qué actividades se realizarán según el producto que se desarrollará.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3. Determinar que medios tecnológicos se  utilizarán o habilidades tecnológicas 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Ejemplo: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Estrategia didáctica: investigación y organización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A través de la metodología de aprendizaje colaborativo los estudiantes realizarán una investigación temática apoyándose de la plataforma PIRA y  Open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Knowledge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 para definir los elementos de un anteproyecto.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Posteriormente a través de Google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Forms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 realizarán un formulario para determinar los conceptos clave que permitirán desarrollar un mapa conceptual.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Para encontrar información: 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1. Se utilizará el gestor de información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Mendeley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 y el apartado de Open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Konowledge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 para encontrar información.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>2. Se llevará a cabo la revisión de vídeos cargados en la plataforma Pira.</w:t>
            </w:r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br/>
              <w:t xml:space="preserve">3. Se utilizará el software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>Canva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MX"/>
              </w:rPr>
              <w:t xml:space="preserve"> para el desarrollo de productos.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t xml:space="preserve">Se establecen de forma propositiva los impactos que se tendrán en la generación de ideas (creatividad), identificación de campos de investigación (investigación), formas en las que se pueda mejorar lo ideado o investigado (innovación) y nichos de mercado (emprendimiento) obtenidos en el transcurso de las sesiones de trabajo.   </w:t>
            </w:r>
          </w:p>
        </w:tc>
        <w:tc>
          <w:tcPr>
            <w:tcW w:w="4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0D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t>Se establecen los productos que permitan consolidar el conocimiento, estos buscarán estar íntimamente relacionados con los siguientes:</w:t>
            </w: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  <w:t>Creatividad</w:t>
            </w:r>
          </w:p>
          <w:p w:rsidR="00556E03" w:rsidRPr="00C07A9A" w:rsidRDefault="00556E03" w:rsidP="0055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t>Reflexiones de tu foro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Documentales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Cortometrajes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Subastas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Obras de Teatro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 xml:space="preserve">Altruismo 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Filantropía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  <w:t>Investigación</w:t>
            </w:r>
          </w:p>
          <w:p w:rsidR="00556E03" w:rsidRPr="00C07A9A" w:rsidRDefault="00556E03" w:rsidP="0055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t>Opinión fundamentada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Reseñas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Ponencias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Artículos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Reportes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Tesinas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Tesis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Proyectos de intervención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  <w:t>Innovación</w:t>
            </w:r>
          </w:p>
          <w:p w:rsidR="00556E03" w:rsidRPr="00C07A9A" w:rsidRDefault="00556E03" w:rsidP="0055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t>Idea dinámica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Patentes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Proyectos sociales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  <w:t>Emprendimiento</w:t>
            </w:r>
          </w:p>
          <w:p w:rsidR="000D7AC1" w:rsidRPr="00C07A9A" w:rsidRDefault="00556E03" w:rsidP="0055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t>Iniciar un proyecto</w:t>
            </w:r>
            <w:r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es-MX"/>
              </w:rPr>
              <w:t xml:space="preserve"> 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  <w:t>Proyectos de emprendimiento</w:t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br/>
            </w:r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lastRenderedPageBreak/>
              <w:t>Todos los productos deberán estar considerados dentro de la evaluación formativa o de la evaluación final/</w:t>
            </w:r>
            <w:proofErr w:type="spellStart"/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t>sumativa</w:t>
            </w:r>
            <w:proofErr w:type="spellEnd"/>
            <w:r w:rsidR="000D7AC1" w:rsidRPr="00C07A9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MX"/>
              </w:rPr>
              <w:t>.</w:t>
            </w:r>
          </w:p>
        </w:tc>
      </w:tr>
      <w:tr w:rsidR="00EA670C" w:rsidRPr="00C07A9A" w:rsidTr="00C07A9A">
        <w:trPr>
          <w:divId w:val="153690455"/>
          <w:trHeight w:val="29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32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4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C1" w:rsidRPr="00C07A9A" w:rsidRDefault="000D7AC1" w:rsidP="000D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EA670C" w:rsidRPr="00C07A9A" w:rsidTr="00C07A9A">
        <w:trPr>
          <w:divId w:val="153690455"/>
          <w:trHeight w:val="29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0C" w:rsidRPr="00C07A9A" w:rsidRDefault="00EA670C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70C" w:rsidRPr="00C07A9A" w:rsidRDefault="00EA670C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32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0C" w:rsidRPr="00C07A9A" w:rsidRDefault="00EA670C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0C" w:rsidRPr="00C07A9A" w:rsidRDefault="00EA670C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"/>
                <w:lang w:eastAsia="es-MX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0C" w:rsidRPr="00C07A9A" w:rsidRDefault="00EA670C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4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0C" w:rsidRPr="00C07A9A" w:rsidRDefault="00EA670C" w:rsidP="000D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EA670C" w:rsidRPr="00C07A9A" w:rsidTr="007320AC">
        <w:trPr>
          <w:divId w:val="153690455"/>
          <w:trHeight w:val="7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Técnicas de Evaluación Diagnóstica (Sugeridas)   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Técnicas de Evaluación Durante el proceso formativo (Sugeridas)   </w:t>
            </w:r>
          </w:p>
        </w:tc>
        <w:tc>
          <w:tcPr>
            <w:tcW w:w="652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Técnicas de Evaluación </w:t>
            </w:r>
            <w:proofErr w:type="spellStart"/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sumativa</w:t>
            </w:r>
            <w:proofErr w:type="spellEnd"/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(Sugeridas)   </w:t>
            </w:r>
          </w:p>
        </w:tc>
        <w:tc>
          <w:tcPr>
            <w:tcW w:w="28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B6D9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Líneas de investigación </w:t>
            </w:r>
          </w:p>
        </w:tc>
      </w:tr>
      <w:tr w:rsidR="00EA670C" w:rsidRPr="00C07A9A" w:rsidTr="007320AC">
        <w:trPr>
          <w:divId w:val="153690455"/>
          <w:trHeight w:val="205"/>
        </w:trPr>
        <w:tc>
          <w:tcPr>
            <w:tcW w:w="453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Proporciona información acerca de los conocimientos y las habilidades previas del estudiante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Debe considerarse siempre en términos de su utilidad para facilitar adaptaciones constructivas de los programas educativos a los individuos.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En este sentido cumple con la función reguladora que asegure que las características del sistema se ajusten a las de las personas a quienes se dirige; es decir que va a servir de base para adoptar decisiones relativas a la realización de actividades de apoyo, específicamente orientadas a la superación de problemas que presente el estudiante, o bien dará lugar a modificaciones específicas en otros componentes en función de los problemas detectados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Cumple una función reguladora de los procesos de gestión del aprendizaje lo cual nos permite llevar a cabo ajustes y adaptaciones de manera </w:t>
            </w:r>
            <w:r w:rsidR="001272CC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progresiva durante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el curso porque se centra más que en los resultados del aprendizaje en los procesos que se ponen en juego para el logro de tales resultados.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Sólo centrados en los procesos podremos identificar áreas de oportunidad para poder ofrecer una retroalimentación apropiada a los estudiantes, de manera que ellos sepan qué es aq</w:t>
            </w:r>
            <w:r w:rsidR="00282F8A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uello que deben hacer o ajustar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de su proceso para alcanzar los resultados esperados.</w:t>
            </w:r>
          </w:p>
          <w:p w:rsidR="00282F8A" w:rsidRPr="00C07A9A" w:rsidRDefault="00282F8A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 xml:space="preserve">Ejemplo ilustrativo </w:t>
            </w:r>
          </w:p>
          <w:p w:rsidR="005D4C44" w:rsidRPr="00C07A9A" w:rsidRDefault="005D4C44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  <w:p w:rsidR="005D4C44" w:rsidRPr="00C07A9A" w:rsidRDefault="00556E03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Primer Parcial/Primer Corte de productos</w:t>
            </w:r>
          </w:p>
          <w:p w:rsidR="005D4C44" w:rsidRPr="00C07A9A" w:rsidRDefault="005D4C44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5 productos </w:t>
            </w:r>
          </w:p>
          <w:p w:rsidR="005D4C44" w:rsidRPr="00C07A9A" w:rsidRDefault="005D4C44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Cada producto valdrá 5 % teniendo como fin la obtención del 25 %</w:t>
            </w:r>
          </w:p>
          <w:p w:rsidR="005D4C44" w:rsidRPr="00C07A9A" w:rsidRDefault="005D4C44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Segundo Parcial</w:t>
            </w:r>
            <w:r w:rsidR="00556E03"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/Segundo Corte de productos</w:t>
            </w:r>
          </w:p>
          <w:p w:rsidR="005D4C44" w:rsidRPr="00C07A9A" w:rsidRDefault="005D4C44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Se tendrán tres productos cuyo valor será de 8.3 %, con el fin de obtener el 25 %</w:t>
            </w:r>
          </w:p>
        </w:tc>
        <w:tc>
          <w:tcPr>
            <w:tcW w:w="652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Constituye un balance general de los conocimientos adquiridos o de las competencias desarrolladas después de que se ha operado un programa de intervención educativa, se centra en los resultados del aprendizaje; es decir que se orienta a verificar el cumplimiento de los objetivos y estándares previamente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determinados en el programa, y por lo tanto nos permite emitir un juicio de acreditación académica.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Tal función de control, obliga a que el tipo de evaluación </w:t>
            </w:r>
            <w:r w:rsidR="005323FE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sea </w:t>
            </w:r>
            <w:proofErr w:type="spellStart"/>
            <w:r w:rsidR="005323FE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criterial</w:t>
            </w:r>
            <w:proofErr w:type="spellEnd"/>
            <w:r w:rsidR="005323FE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en cuanto a su </w:t>
            </w:r>
            <w:proofErr w:type="spellStart"/>
            <w:r w:rsidR="005323FE"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no</w:t>
            </w:r>
            <w:r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motipo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.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Adicionalmente posibilita la comparación de grupos y la conexión entre niveles secuenciados, por lo que exige un espectro amplio de conductas representativas y significativas del aprendizaje alcanzado.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La información cuantitativa proporcionada por la evaluación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sumativa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, permite además cumplir con la función de control y acreditación del aprendizaje, imprescindible para la planeación y sistematización de la práctica educativa.</w:t>
            </w:r>
          </w:p>
          <w:p w:rsidR="00282F8A" w:rsidRPr="00C07A9A" w:rsidRDefault="00282F8A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Ejemplo ilustrativo</w:t>
            </w:r>
          </w:p>
          <w:p w:rsidR="005D4C44" w:rsidRPr="00C07A9A" w:rsidRDefault="00556E03" w:rsidP="005D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 xml:space="preserve">Ordinario/Corte de valoración final </w:t>
            </w:r>
          </w:p>
          <w:p w:rsidR="005D4C44" w:rsidRPr="00C07A9A" w:rsidRDefault="005D4C44" w:rsidP="005D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Se tendrá la evaluación de un producto integrador que valdrá el 50 %</w:t>
            </w:r>
          </w:p>
          <w:p w:rsidR="005D4C44" w:rsidRPr="00C07A9A" w:rsidRDefault="005D4C44" w:rsidP="005D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  <w:p w:rsidR="005D4C44" w:rsidRPr="00C07A9A" w:rsidRDefault="005D4C44" w:rsidP="005D4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*La suma de formativa más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sumativa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será del 100%</w:t>
            </w:r>
          </w:p>
        </w:tc>
        <w:tc>
          <w:tcPr>
            <w:tcW w:w="284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Tema o problemática específica de investigación de un área dentro del cual se pueden inscribir una infinidad de proyectos de investigación individuales o colectivos.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Su fin primordial es el de señalar y  delimitar a muy grandes rasgos, mediante un simple título, el tema o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problemática de interés de un  investigador y/o un centro de investigación. Las líneas de investigación </w:t>
            </w:r>
            <w:r w:rsidR="005323FE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están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definidas de forma institucional y deben colocarse</w:t>
            </w:r>
            <w:r w:rsidR="00896E22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según se impacte en ellas con los productos.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</w:t>
            </w:r>
          </w:p>
        </w:tc>
      </w:tr>
      <w:tr w:rsidR="003509ED" w:rsidRPr="00C07A9A" w:rsidTr="00EA670C">
        <w:trPr>
          <w:divId w:val="153690455"/>
          <w:trHeight w:val="62"/>
        </w:trPr>
        <w:tc>
          <w:tcPr>
            <w:tcW w:w="187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Para la construcción de instrumentos para la evaluación del aprendizaje deberá tomar en cuenta la siguiente escala valorativa: </w:t>
            </w:r>
          </w:p>
        </w:tc>
      </w:tr>
      <w:tr w:rsidR="00EA670C" w:rsidRPr="00C07A9A" w:rsidTr="00C07A9A">
        <w:trPr>
          <w:divId w:val="153690455"/>
          <w:trHeight w:val="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Sin Nivel/0-5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Pre- formal/6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Receptivo/7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Resolutivo/8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Autónomo/9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3509ED" w:rsidRPr="00C07A9A" w:rsidRDefault="003509ED" w:rsidP="00350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Estratégico/10</w:t>
            </w:r>
          </w:p>
        </w:tc>
      </w:tr>
      <w:tr w:rsidR="00EA670C" w:rsidRPr="00C07A9A" w:rsidTr="00C07A9A">
        <w:trPr>
          <w:divId w:val="153690455"/>
          <w:trHeight w:val="260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9ED" w:rsidRPr="00C07A9A" w:rsidRDefault="003509ED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No domina los conocimientos básicos de la asignatura</w:t>
            </w:r>
          </w:p>
          <w:p w:rsidR="005D529E" w:rsidRPr="00C07A9A" w:rsidRDefault="005D529E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9E" w:rsidRPr="00C07A9A" w:rsidRDefault="003509ED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sz w:val="20"/>
                <w:lang w:eastAsia="es-MX"/>
              </w:rPr>
              <w:t xml:space="preserve">Realiza las acciones mínimas que le exigen en la asignatura, cumpliendo </w:t>
            </w:r>
            <w:r w:rsidR="005D529E" w:rsidRPr="00C07A9A">
              <w:rPr>
                <w:rFonts w:ascii="Calibri" w:eastAsia="Times New Roman" w:hAnsi="Calibri" w:cs="Calibri"/>
                <w:sz w:val="20"/>
                <w:lang w:eastAsia="es-MX"/>
              </w:rPr>
              <w:t>con las actividades cotidianas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9E" w:rsidRPr="00C07A9A" w:rsidRDefault="003509ED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sz w:val="20"/>
                <w:lang w:eastAsia="es-MX"/>
              </w:rPr>
              <w:t>Hay recepción y comprensión general de la información y existe motivación frente a la tarea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9E" w:rsidRPr="00C07A9A" w:rsidRDefault="003509ED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sz w:val="20"/>
                <w:lang w:eastAsia="es-MX"/>
              </w:rPr>
              <w:t>Resuelve problemas sencillos, realiza actividades asignadas y maneja conceptos básicos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9E" w:rsidRPr="00C07A9A" w:rsidRDefault="003509ED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sz w:val="20"/>
                <w:lang w:eastAsia="es-MX"/>
              </w:rPr>
              <w:t>Se actúa a la realidad con criterio propio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9E" w:rsidRPr="00C07A9A" w:rsidRDefault="003509ED" w:rsidP="00C0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sz w:val="20"/>
                <w:lang w:eastAsia="es-MX"/>
              </w:rPr>
              <w:t>Alcanza las competencias esperadas y está en un proceso de mejoramiento continuo, apoya a otros para que superen sus dificultades</w:t>
            </w:r>
          </w:p>
        </w:tc>
      </w:tr>
      <w:tr w:rsidR="00CA1910" w:rsidRPr="00C07A9A" w:rsidTr="00EA670C">
        <w:trPr>
          <w:divId w:val="153690455"/>
          <w:trHeight w:val="260"/>
        </w:trPr>
        <w:tc>
          <w:tcPr>
            <w:tcW w:w="18725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CA1910" w:rsidRPr="00C07A9A" w:rsidRDefault="00CA1910" w:rsidP="00350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lang w:eastAsia="es-MX"/>
              </w:rPr>
              <w:lastRenderedPageBreak/>
              <w:t xml:space="preserve">Competencias a desarrollar por parcial </w:t>
            </w:r>
            <w:r w:rsidR="001A7A93" w:rsidRPr="00C07A9A">
              <w:rPr>
                <w:rFonts w:ascii="Calibri" w:eastAsia="Times New Roman" w:hAnsi="Calibri" w:cs="Calibri"/>
                <w:b/>
                <w:lang w:eastAsia="es-MX"/>
              </w:rPr>
              <w:t>y ordinario</w:t>
            </w:r>
          </w:p>
        </w:tc>
      </w:tr>
      <w:tr w:rsidR="00896E22" w:rsidRPr="00C07A9A" w:rsidTr="00C07A9A">
        <w:trPr>
          <w:divId w:val="153690455"/>
          <w:trHeight w:val="260"/>
        </w:trPr>
        <w:tc>
          <w:tcPr>
            <w:tcW w:w="8503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A93" w:rsidRPr="00C07A9A" w:rsidRDefault="001A7A93" w:rsidP="001A7A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Prime</w:t>
            </w:r>
            <w:r w:rsidR="00EA670C" w:rsidRPr="00C07A9A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 Parcial/ Primer corte</w:t>
            </w:r>
          </w:p>
          <w:p w:rsidR="001A7A93" w:rsidRPr="00C07A9A" w:rsidRDefault="001A7A93" w:rsidP="001A7A9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Se coloca un máximo de 3 competencias a desarrollar y un mínimo de una, la cual deberá de ser ponderada por las evidencias de aprendizaje/construcción del conocimiento/productos que el docente determine.</w:t>
            </w:r>
          </w:p>
          <w:p w:rsidR="00304F10" w:rsidRPr="00C07A9A" w:rsidRDefault="00304F10" w:rsidP="001A7A9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lang w:eastAsia="es-MX"/>
              </w:rPr>
            </w:pPr>
          </w:p>
          <w:p w:rsidR="00C07A9A" w:rsidRPr="00C07A9A" w:rsidRDefault="00304F10" w:rsidP="00C07A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  <w:t xml:space="preserve"> </w:t>
            </w:r>
            <w:r w:rsidR="00C07A9A" w:rsidRPr="00C07A9A">
              <w:rPr>
                <w:rFonts w:ascii="Calibri" w:eastAsia="Times New Roman" w:hAnsi="Calibri" w:cs="Calibri"/>
                <w:b/>
                <w:color w:val="FF0000"/>
                <w:sz w:val="20"/>
                <w:lang w:eastAsia="es-MX"/>
              </w:rPr>
              <w:t>Redacción de competencia:</w:t>
            </w:r>
            <w:r w:rsidR="00C07A9A" w:rsidRPr="00C07A9A">
              <w:rPr>
                <w:rFonts w:ascii="Calibri" w:eastAsia="Times New Roman" w:hAnsi="Calibri" w:cs="Calibri"/>
                <w:color w:val="FF0000"/>
                <w:sz w:val="20"/>
                <w:lang w:eastAsia="es-MX"/>
              </w:rPr>
              <w:t xml:space="preserve"> </w:t>
            </w:r>
          </w:p>
          <w:p w:rsidR="00C07A9A" w:rsidRPr="00C07A9A" w:rsidRDefault="00C07A9A" w:rsidP="00C07A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lang w:eastAsia="es-MX"/>
              </w:rPr>
            </w:pPr>
          </w:p>
          <w:p w:rsidR="00C07A9A" w:rsidRPr="00C07A9A" w:rsidRDefault="00C07A9A" w:rsidP="00C07A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sz w:val="20"/>
                <w:lang w:eastAsia="es-MX"/>
              </w:rPr>
              <w:t>Acción de desempeño (verbo en presente simple), objeto de conocimiento (en relación a la acción de desempeño), Condición de Calidad/finalidad (estándares o normas para evaluar esa competencia).</w:t>
            </w:r>
          </w:p>
          <w:p w:rsidR="00C07A9A" w:rsidRPr="00C07A9A" w:rsidRDefault="00C07A9A" w:rsidP="00C07A9A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</w:pPr>
          </w:p>
          <w:p w:rsidR="00C07A9A" w:rsidRPr="00C07A9A" w:rsidRDefault="00C07A9A" w:rsidP="00C07A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i/>
                <w:color w:val="FF0000"/>
                <w:sz w:val="20"/>
                <w:lang w:eastAsia="es-MX"/>
              </w:rPr>
              <w:t>Ejemplo:</w:t>
            </w:r>
          </w:p>
          <w:p w:rsidR="00C07A9A" w:rsidRPr="00C07A9A" w:rsidRDefault="00C07A9A" w:rsidP="00C07A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color w:val="FF0000"/>
                <w:sz w:val="20"/>
                <w:u w:val="single"/>
                <w:lang w:eastAsia="es-MX"/>
              </w:rPr>
              <w:t>Acción de desempeño</w:t>
            </w:r>
            <w:r w:rsidRPr="00C07A9A"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  <w:t>: diseña</w:t>
            </w:r>
          </w:p>
          <w:p w:rsidR="00C07A9A" w:rsidRPr="00C07A9A" w:rsidRDefault="00C07A9A" w:rsidP="00C07A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color w:val="FF0000"/>
                <w:sz w:val="20"/>
                <w:u w:val="single"/>
                <w:lang w:eastAsia="es-MX"/>
              </w:rPr>
              <w:t>Objeto de conocimiento/directo</w:t>
            </w:r>
            <w:r w:rsidRPr="00C07A9A"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  <w:t>: un programa de formación docente</w:t>
            </w:r>
          </w:p>
          <w:p w:rsidR="00C07A9A" w:rsidRPr="00C07A9A" w:rsidRDefault="00C07A9A" w:rsidP="00C07A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color w:val="FF0000"/>
                <w:sz w:val="20"/>
                <w:u w:val="single"/>
                <w:lang w:eastAsia="es-MX"/>
              </w:rPr>
              <w:t>Condición de calidad/finalidad</w:t>
            </w:r>
            <w:r w:rsidRPr="00C07A9A">
              <w:rPr>
                <w:rFonts w:ascii="Calibri" w:eastAsia="Times New Roman" w:hAnsi="Calibri" w:cs="Calibri"/>
                <w:i/>
                <w:color w:val="FF0000"/>
                <w:sz w:val="20"/>
                <w:lang w:eastAsia="es-MX"/>
              </w:rPr>
              <w:t>: logrando un aprendizaje significativo en los participantes del programa.</w:t>
            </w:r>
          </w:p>
          <w:p w:rsidR="00304F10" w:rsidRPr="00C07A9A" w:rsidRDefault="00304F10" w:rsidP="001A7A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A7A93" w:rsidRPr="00C07A9A" w:rsidRDefault="001A7A93" w:rsidP="001A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Sin Nivel/0-5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A7A93" w:rsidRPr="00C07A9A" w:rsidRDefault="001A7A93" w:rsidP="001A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Pre- formal/6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A7A93" w:rsidRPr="00C07A9A" w:rsidRDefault="001A7A93" w:rsidP="001A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Receptivo/7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A7A93" w:rsidRPr="00C07A9A" w:rsidRDefault="001A7A93" w:rsidP="001A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Resolutivo/8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A7A93" w:rsidRPr="00C07A9A" w:rsidRDefault="001A7A93" w:rsidP="001A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Autónomo/9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1A7A93" w:rsidRPr="00C07A9A" w:rsidRDefault="001A7A93" w:rsidP="001A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07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Estratégico/10</w:t>
            </w:r>
          </w:p>
        </w:tc>
      </w:tr>
      <w:tr w:rsidR="007320AC" w:rsidRPr="00C07A9A" w:rsidTr="00C07A9A">
        <w:trPr>
          <w:divId w:val="153690455"/>
          <w:trHeight w:val="1378"/>
        </w:trPr>
        <w:tc>
          <w:tcPr>
            <w:tcW w:w="850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0AC" w:rsidRPr="00C07A9A" w:rsidRDefault="007320AC" w:rsidP="001B6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 domina los conocimientos básicos de la asignatura </w:t>
            </w:r>
          </w:p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Realiza las acciones mínimas que le exigen en la asignatura, cumpliendo con las actividades cotidianas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Hay recepción y comprensión general de la información y existe motivación frente a la tarea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Resuelve problemas sencillos, realiza actividades asignadas y maneja conceptos básicos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Se actúa a la realidad con criterio propio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Alcanza las competencias esperadas y está en un proceso de mejoramiento continuo, apoya a otros para que superen sus dificultades.</w:t>
            </w:r>
          </w:p>
          <w:p w:rsidR="007320AC" w:rsidRPr="00C07A9A" w:rsidRDefault="007320AC" w:rsidP="001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7320AC" w:rsidRPr="00C07A9A" w:rsidTr="00C07A9A">
        <w:trPr>
          <w:divId w:val="153690455"/>
          <w:trHeight w:val="260"/>
        </w:trPr>
        <w:tc>
          <w:tcPr>
            <w:tcW w:w="850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Segundo Parcial/Segundo corte</w:t>
            </w:r>
          </w:p>
          <w:p w:rsidR="007320AC" w:rsidRPr="00C07A9A" w:rsidRDefault="007320AC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Se coloca un máximo de 3 competencias a desarrollar y un mínimo de una, la cual deberá de ser ponderada por las evidencias de aprendizaje/construcción del conocimiento/productos que el docente determine.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9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</w:tr>
      <w:tr w:rsidR="007320AC" w:rsidRPr="00C07A9A" w:rsidTr="00C07A9A">
        <w:trPr>
          <w:divId w:val="153690455"/>
          <w:trHeight w:val="260"/>
        </w:trPr>
        <w:tc>
          <w:tcPr>
            <w:tcW w:w="850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Ordinario/ Valoración final </w:t>
            </w:r>
          </w:p>
          <w:p w:rsidR="007320AC" w:rsidRPr="00C07A9A" w:rsidRDefault="007320AC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 xml:space="preserve">Se coloca un máximo de 5 competencias a desarrollar y un mínimo de una, la cual deberá de ser ponderada por las evidencias de aprendizaje/construcción del conocimiento/productos que el docente determine de cada parcial. Las competencias en el ordinario deberán de ser ilustrativas respecto de las finalidades de la asignatura y conforme el perfil profesional a desarrollar. </w:t>
            </w:r>
          </w:p>
          <w:p w:rsidR="007320AC" w:rsidRPr="00C07A9A" w:rsidRDefault="007320AC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9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0AC" w:rsidRPr="00C07A9A" w:rsidRDefault="007320AC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</w:tr>
      <w:tr w:rsidR="00B24553" w:rsidRPr="00C07A9A" w:rsidTr="00EA670C">
        <w:trPr>
          <w:divId w:val="153690455"/>
          <w:trHeight w:val="56"/>
        </w:trPr>
        <w:tc>
          <w:tcPr>
            <w:tcW w:w="18725" w:type="dxa"/>
            <w:gridSpan w:val="2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Referencias en formato APA sexta edición o Vancouver para área de salud (puede apoyarse de </w:t>
            </w:r>
            <w:proofErr w:type="spellStart"/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Mendeley</w:t>
            </w:r>
            <w:proofErr w:type="spellEnd"/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) </w:t>
            </w:r>
          </w:p>
        </w:tc>
      </w:tr>
      <w:tr w:rsidR="00B24553" w:rsidRPr="00C07A9A" w:rsidTr="00EA670C">
        <w:trPr>
          <w:divId w:val="153690455"/>
          <w:trHeight w:val="1079"/>
        </w:trPr>
        <w:tc>
          <w:tcPr>
            <w:tcW w:w="1872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53" w:rsidRPr="00C07A9A" w:rsidRDefault="00B24553" w:rsidP="00C07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 xml:space="preserve">En este apartado deberán agregarse todos los recursos digitales o impresos que puedan ser utilizados para el desarrollo de las actividades en clase o fuera de ella. </w:t>
            </w:r>
          </w:p>
          <w:p w:rsidR="00B24553" w:rsidRPr="00C07A9A" w:rsidRDefault="00B24553" w:rsidP="00C07A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Un autor: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Santos Ramírez, L. (2004). </w:t>
            </w: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Matrimonios de anglos y mexicanos en la frontera. Hermosillo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. 2da. Edición. México: El Colegio de Sonora.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Dos autores: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Brooks, D., y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McLennan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, D. (2002). </w:t>
            </w:r>
            <w:r w:rsidRPr="00C07A9A">
              <w:rPr>
                <w:rFonts w:ascii="Calibri" w:eastAsia="Times New Roman" w:hAnsi="Calibri" w:cs="Calibri"/>
                <w:i/>
                <w:color w:val="FF0000"/>
                <w:lang w:val="en-US" w:eastAsia="es-MX"/>
              </w:rPr>
              <w:t>The Nature of diversity: An Evolutionary Voyage of Discovery</w:t>
            </w:r>
            <w:r w:rsidRPr="00C07A9A">
              <w:rPr>
                <w:rFonts w:ascii="Calibri" w:eastAsia="Times New Roman" w:hAnsi="Calibri" w:cs="Calibri"/>
                <w:color w:val="FF0000"/>
                <w:lang w:val="en-US" w:eastAsia="es-MX"/>
              </w:rPr>
              <w:t>. Chicago: University of Chicago Press.</w:t>
            </w:r>
            <w:r w:rsidRPr="00C07A9A">
              <w:rPr>
                <w:rFonts w:ascii="Calibri" w:eastAsia="Times New Roman" w:hAnsi="Calibri" w:cs="Calibri"/>
                <w:color w:val="FF0000"/>
                <w:lang w:val="en-US"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val="en-US"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lastRenderedPageBreak/>
              <w:t>Capítulo de libro: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Rozo, C. (1999). Las cuatro paradojas de la globalización. En Globalización, industria e integración productiva en Sonora, compilado por Blanca Lara, Cristina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Taddei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y Jorge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Taddei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, 25-37. Hermosillo: El Colegio de Sonora, Universidad de Sonora, CIAD, A. C.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Artículo de revista: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Arzaluz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Solano, S. (2005). La utilización del estudio de caso en el análisis local. </w:t>
            </w: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Región y sociedad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. XVII (32), pp. 107-144.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Artículo de revista electrónica:</w:t>
            </w:r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proofErr w:type="spellStart"/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Arzaluz</w:t>
            </w:r>
            <w:proofErr w:type="spellEnd"/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 Solano, S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. (2005). La utilización del estudio de caso en el análisis local. </w:t>
            </w: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Región y sociedad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. XVII (32), pp. 107-144. Recuperado de (colocar la dirección electrónica)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Artículo de periódico: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Reforma. (2001). El precio oculto de la impresión: los consumibles. </w:t>
            </w: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Costos que impresionan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. 2 de abril.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Tesis:</w:t>
            </w:r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Hernández, S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. (2004). La trayectoria social de un productor cultural. Tesis de maestría en Ciencias Sociales, El Colegio de Sonora: México.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 xml:space="preserve">Tesis en línea </w:t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Hernández, S. (2004). La trayectoria social de un productor cultural. Tesis de maestría en Ciencias Sociales, El Colegio de Sonora. Recuperado de http://www.cmstesis.smud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Ponencias:</w:t>
            </w:r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Castro, J. E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. (2005). Agua urbana y lucha social en América Latina. Ponencia presentada en el </w:t>
            </w: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XXV Congreso de la Asociación Latinoamericana de Sociología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, Porto Alegre.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 xml:space="preserve">Ponencias en línea: </w:t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br/>
            </w:r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Castro, J. E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. (2005). Agua urbana y lucha social en América Latina. Ponencia presentada en el </w:t>
            </w:r>
            <w:r w:rsidRPr="00C07A9A">
              <w:rPr>
                <w:rFonts w:ascii="Calibri" w:eastAsia="Times New Roman" w:hAnsi="Calibri" w:cs="Calibri"/>
                <w:i/>
                <w:color w:val="FF0000"/>
                <w:lang w:eastAsia="es-MX"/>
              </w:rPr>
              <w:t>XXV Congreso de la Asociación Latinoamericana de Sociología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, Porto Alegre. Recuperado de  http://www.mountr.mxc.mx.m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Material obtenido de Internet: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 xml:space="preserve">Comisión Nacional del Agua. (2006). Programa playas limpias. Recuperado de http://www.cna.gob.mx/eCNA/Espaniol/Directorio/Default.aspx 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Imagen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Diego Rivera, (1934). El hombre en el cruce de caminos. Tercer piso del Palacio de Bellas Artes, ciudad de México.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Leyes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  <w:t>Artículo 3 constitucional. Capítulo I De los Derechos Humanos y sus Garantías. Título Primero. Constitución Política de los Estados Unidos Mexicanos. Legislación Federal (Actualizada al 17 de mayo de 2016)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lastRenderedPageBreak/>
              <w:t>Obra traducida</w:t>
            </w:r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proofErr w:type="spellStart"/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Sofsky</w:t>
            </w:r>
            <w:proofErr w:type="spellEnd"/>
            <w:r w:rsidR="0095048D"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, W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. (2006). Tratado sobre la violencia. Trad. Joaquín Chamorro </w:t>
            </w:r>
            <w:proofErr w:type="spellStart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Mielke</w:t>
            </w:r>
            <w:proofErr w:type="spellEnd"/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. Madrid: Abada Editores.</w:t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br/>
            </w:r>
          </w:p>
        </w:tc>
      </w:tr>
      <w:tr w:rsidR="00B24553" w:rsidRPr="00C07A9A" w:rsidTr="00EA670C">
        <w:trPr>
          <w:divId w:val="153690455"/>
          <w:trHeight w:val="610"/>
        </w:trPr>
        <w:tc>
          <w:tcPr>
            <w:tcW w:w="1872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</w:tr>
      <w:tr w:rsidR="00EA670C" w:rsidRPr="00C07A9A" w:rsidTr="00C07A9A">
        <w:trPr>
          <w:divId w:val="153690455"/>
          <w:trHeight w:val="36"/>
        </w:trPr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EA670C" w:rsidRPr="00C07A9A" w:rsidTr="00C07A9A">
        <w:trPr>
          <w:divId w:val="153690455"/>
          <w:trHeight w:val="96"/>
        </w:trPr>
        <w:tc>
          <w:tcPr>
            <w:tcW w:w="2126" w:type="dxa"/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96" w:type="dxa"/>
            <w:gridSpan w:val="1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Eje basado en el Proyecto </w:t>
            </w:r>
            <w:proofErr w:type="spellStart"/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Milenium</w:t>
            </w:r>
            <w:proofErr w:type="spellEnd"/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 (Plan de Innovación Educativa)</w:t>
            </w:r>
          </w:p>
        </w:tc>
        <w:tc>
          <w:tcPr>
            <w:tcW w:w="1275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EA670C" w:rsidRPr="00C07A9A" w:rsidTr="00C07A9A">
        <w:trPr>
          <w:divId w:val="153690455"/>
          <w:trHeight w:val="36"/>
        </w:trPr>
        <w:tc>
          <w:tcPr>
            <w:tcW w:w="2126" w:type="dxa"/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96" w:type="dxa"/>
            <w:gridSpan w:val="1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 xml:space="preserve">Eje basado en el Proyecto </w:t>
            </w:r>
            <w:proofErr w:type="spellStart"/>
            <w:r w:rsidRPr="00C07A9A">
              <w:rPr>
                <w:rFonts w:ascii="Calibri" w:eastAsia="Times New Roman" w:hAnsi="Calibri" w:cs="Calibri"/>
                <w:lang w:eastAsia="es-MX"/>
              </w:rPr>
              <w:t>Milenium</w:t>
            </w:r>
            <w:proofErr w:type="spellEnd"/>
            <w:r w:rsidRPr="00C07A9A">
              <w:rPr>
                <w:rFonts w:ascii="Calibri" w:eastAsia="Times New Roman" w:hAnsi="Calibri" w:cs="Calibri"/>
                <w:lang w:eastAsia="es-MX"/>
              </w:rPr>
              <w:t xml:space="preserve">  (Plan de Innovación Educativa)</w:t>
            </w:r>
          </w:p>
        </w:tc>
        <w:tc>
          <w:tcPr>
            <w:tcW w:w="1275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EA670C" w:rsidRPr="00C07A9A" w:rsidTr="00C07A9A">
        <w:trPr>
          <w:divId w:val="153690455"/>
          <w:trHeight w:val="36"/>
        </w:trPr>
        <w:tc>
          <w:tcPr>
            <w:tcW w:w="2126" w:type="dxa"/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96" w:type="dxa"/>
            <w:gridSpan w:val="1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Actualización: Diciembre 2018</w:t>
            </w:r>
          </w:p>
        </w:tc>
        <w:tc>
          <w:tcPr>
            <w:tcW w:w="1275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EA670C" w:rsidRPr="00C07A9A" w:rsidTr="00C07A9A">
        <w:trPr>
          <w:divId w:val="153690455"/>
          <w:trHeight w:val="36"/>
        </w:trPr>
        <w:tc>
          <w:tcPr>
            <w:tcW w:w="2126" w:type="dxa"/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663" w:type="dxa"/>
            <w:gridSpan w:val="11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Vicerrectoría Académica 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68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EA670C" w:rsidRPr="00C07A9A" w:rsidTr="00C07A9A">
        <w:trPr>
          <w:divId w:val="153690455"/>
          <w:trHeight w:val="36"/>
        </w:trPr>
        <w:tc>
          <w:tcPr>
            <w:tcW w:w="2126" w:type="dxa"/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663" w:type="dxa"/>
            <w:gridSpan w:val="11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Consorcio Educativo de Oriente 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68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713489" w:rsidRPr="00C07A9A" w:rsidTr="00C07A9A">
        <w:trPr>
          <w:divId w:val="153690455"/>
          <w:trHeight w:val="36"/>
        </w:trPr>
        <w:tc>
          <w:tcPr>
            <w:tcW w:w="2126" w:type="dxa"/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3118" w:type="dxa"/>
            <w:gridSpan w:val="5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837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68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713489" w:rsidRPr="00C07A9A" w:rsidTr="00C07A9A">
        <w:trPr>
          <w:divId w:val="153690455"/>
          <w:trHeight w:val="36"/>
        </w:trPr>
        <w:tc>
          <w:tcPr>
            <w:tcW w:w="2126" w:type="dxa"/>
            <w:shd w:val="clear" w:color="000000" w:fill="FFFFFF"/>
            <w:noWrap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671" w:type="dxa"/>
            <w:gridSpan w:val="10"/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  <w:p w:rsidR="00713489" w:rsidRPr="00C07A9A" w:rsidRDefault="00713489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Elaboró </w:t>
            </w:r>
          </w:p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  <w:p w:rsidR="00713489" w:rsidRPr="00C07A9A" w:rsidRDefault="00713489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3118" w:type="dxa"/>
            <w:gridSpan w:val="5"/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5245" w:type="dxa"/>
            <w:gridSpan w:val="11"/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  <w:p w:rsidR="00713489" w:rsidRPr="00C07A9A" w:rsidRDefault="00713489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Autorizó </w:t>
            </w:r>
          </w:p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713489" w:rsidRPr="00C07A9A" w:rsidTr="00C07A9A">
        <w:trPr>
          <w:divId w:val="153690455"/>
          <w:trHeight w:val="36"/>
        </w:trPr>
        <w:tc>
          <w:tcPr>
            <w:tcW w:w="2126" w:type="dxa"/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3118" w:type="dxa"/>
            <w:gridSpan w:val="5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837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68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713489" w:rsidRPr="00C07A9A" w:rsidTr="00C07A9A">
        <w:trPr>
          <w:divId w:val="153690455"/>
          <w:trHeight w:val="36"/>
        </w:trPr>
        <w:tc>
          <w:tcPr>
            <w:tcW w:w="2126" w:type="dxa"/>
            <w:shd w:val="clear" w:color="000000" w:fill="FFFFFF"/>
            <w:noWrap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39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3118" w:type="dxa"/>
            <w:gridSpan w:val="5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837" w:type="dxa"/>
            <w:gridSpan w:val="4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68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22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24553" w:rsidRPr="00C07A9A" w:rsidRDefault="00B24553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713489" w:rsidRPr="00C07A9A" w:rsidTr="00C07A9A">
        <w:trPr>
          <w:divId w:val="153690455"/>
          <w:trHeight w:val="36"/>
        </w:trPr>
        <w:tc>
          <w:tcPr>
            <w:tcW w:w="2126" w:type="dxa"/>
            <w:shd w:val="clear" w:color="000000" w:fill="FFFFFF"/>
            <w:noWrap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671" w:type="dxa"/>
            <w:gridSpan w:val="10"/>
            <w:vMerge w:val="restart"/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__________________________________________________</w:t>
            </w:r>
          </w:p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gridSpan w:val="5"/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5245" w:type="dxa"/>
            <w:gridSpan w:val="11"/>
            <w:vMerge w:val="restart"/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______________________________________________</w:t>
            </w:r>
          </w:p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713489" w:rsidRPr="00C07A9A" w:rsidTr="00C07A9A">
        <w:trPr>
          <w:divId w:val="153690455"/>
          <w:trHeight w:val="38"/>
        </w:trPr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671" w:type="dxa"/>
            <w:gridSpan w:val="10"/>
            <w:vMerge/>
            <w:vAlign w:val="center"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8" w:type="dxa"/>
            <w:gridSpan w:val="5"/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45" w:type="dxa"/>
            <w:gridSpan w:val="11"/>
            <w:vMerge/>
            <w:vAlign w:val="center"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13489" w:rsidRPr="00C07A9A" w:rsidTr="00C07A9A">
        <w:trPr>
          <w:divId w:val="153690455"/>
          <w:trHeight w:val="110"/>
        </w:trPr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671" w:type="dxa"/>
            <w:gridSpan w:val="10"/>
            <w:shd w:val="clear" w:color="000000" w:fill="FFFFFF"/>
            <w:noWrap/>
            <w:vAlign w:val="center"/>
            <w:hideMark/>
          </w:tcPr>
          <w:p w:rsidR="00713489" w:rsidRPr="00C07A9A" w:rsidRDefault="00713489" w:rsidP="00EA6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(Nombre y firma del Docente)</w:t>
            </w:r>
          </w:p>
        </w:tc>
        <w:tc>
          <w:tcPr>
            <w:tcW w:w="4394" w:type="dxa"/>
            <w:gridSpan w:val="6"/>
            <w:shd w:val="clear" w:color="000000" w:fill="FFFFFF"/>
            <w:vAlign w:val="center"/>
          </w:tcPr>
          <w:p w:rsidR="00713489" w:rsidRPr="00C07A9A" w:rsidRDefault="00713489" w:rsidP="00EA6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245" w:type="dxa"/>
            <w:gridSpan w:val="11"/>
            <w:shd w:val="clear" w:color="000000" w:fill="FFFFFF"/>
            <w:vAlign w:val="center"/>
            <w:hideMark/>
          </w:tcPr>
          <w:p w:rsidR="00713489" w:rsidRPr="00C07A9A" w:rsidRDefault="00713489" w:rsidP="00713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713489" w:rsidRPr="00C07A9A" w:rsidRDefault="00713489" w:rsidP="00713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Director de posgrado/Coordinador académico</w:t>
            </w:r>
          </w:p>
          <w:p w:rsidR="00713489" w:rsidRPr="00C07A9A" w:rsidRDefault="00713489" w:rsidP="00713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9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713489" w:rsidRPr="00C07A9A" w:rsidRDefault="00713489" w:rsidP="00B24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07A9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E64B34" w:rsidRDefault="00A01ED6">
      <w:r w:rsidRPr="00C07A9A">
        <w:fldChar w:fldCharType="begin"/>
      </w:r>
      <w:r w:rsidRPr="00C07A9A">
        <w:instrText xml:space="preserve"> LINK </w:instrText>
      </w:r>
      <w:r w:rsidR="00E64B34">
        <w:instrText xml:space="preserve">Excel.Sheet.12 "C:\\Users\\Sony Vaio\\Downloads\\2. Planificación de la praxis docente universitaria.xlsx" "Planifación de la praxis!F1C2:F88C15" </w:instrText>
      </w:r>
      <w:r w:rsidRPr="00C07A9A">
        <w:instrText xml:space="preserve">\a \f 5 \h </w:instrText>
      </w:r>
      <w:r w:rsidR="00C07A9A" w:rsidRPr="00C07A9A">
        <w:instrText xml:space="preserve"> \* MERGEFORMAT </w:instrText>
      </w:r>
      <w:r w:rsidRPr="00C07A9A">
        <w:fldChar w:fldCharType="separate"/>
      </w:r>
    </w:p>
    <w:bookmarkStart w:id="0" w:name="_GoBack"/>
    <w:bookmarkEnd w:id="0"/>
    <w:p w:rsidR="00970D36" w:rsidRPr="00C07A9A" w:rsidRDefault="00A01ED6">
      <w:r w:rsidRPr="00C07A9A">
        <w:fldChar w:fldCharType="end"/>
      </w:r>
    </w:p>
    <w:sectPr w:rsidR="00970D36" w:rsidRPr="00C07A9A" w:rsidSect="00DC4DF8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D1" w:rsidRDefault="00022BD1" w:rsidP="0006342F">
      <w:pPr>
        <w:spacing w:after="0" w:line="240" w:lineRule="auto"/>
      </w:pPr>
      <w:r>
        <w:separator/>
      </w:r>
    </w:p>
  </w:endnote>
  <w:endnote w:type="continuationSeparator" w:id="0">
    <w:p w:rsidR="00022BD1" w:rsidRDefault="00022BD1" w:rsidP="0006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2185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342F" w:rsidRDefault="00DC4DF8" w:rsidP="00B53DF3">
            <w:pPr>
              <w:pStyle w:val="Piedepgina"/>
              <w:jc w:val="right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1031AF41" wp14:editId="5D1CFC5F">
                  <wp:simplePos x="0" y="0"/>
                  <wp:positionH relativeFrom="margin">
                    <wp:posOffset>4660265</wp:posOffset>
                  </wp:positionH>
                  <wp:positionV relativeFrom="paragraph">
                    <wp:posOffset>-158115</wp:posOffset>
                  </wp:positionV>
                  <wp:extent cx="1186815" cy="542925"/>
                  <wp:effectExtent l="0" t="0" r="0" b="952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scarg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03AE7B65" wp14:editId="57C08817">
                  <wp:simplePos x="0" y="0"/>
                  <wp:positionH relativeFrom="margin">
                    <wp:posOffset>5928417</wp:posOffset>
                  </wp:positionH>
                  <wp:positionV relativeFrom="paragraph">
                    <wp:posOffset>-161925</wp:posOffset>
                  </wp:positionV>
                  <wp:extent cx="1531620" cy="48387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48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42F">
              <w:rPr>
                <w:lang w:val="es-ES"/>
              </w:rPr>
              <w:t xml:space="preserve">Página </w:t>
            </w:r>
            <w:r w:rsidR="0006342F">
              <w:rPr>
                <w:b/>
                <w:bCs/>
                <w:sz w:val="24"/>
                <w:szCs w:val="24"/>
              </w:rPr>
              <w:fldChar w:fldCharType="begin"/>
            </w:r>
            <w:r w:rsidR="0006342F">
              <w:rPr>
                <w:b/>
                <w:bCs/>
              </w:rPr>
              <w:instrText>PAGE</w:instrText>
            </w:r>
            <w:r w:rsidR="0006342F">
              <w:rPr>
                <w:b/>
                <w:bCs/>
                <w:sz w:val="24"/>
                <w:szCs w:val="24"/>
              </w:rPr>
              <w:fldChar w:fldCharType="separate"/>
            </w:r>
            <w:r w:rsidR="00B3415C">
              <w:rPr>
                <w:b/>
                <w:bCs/>
                <w:noProof/>
              </w:rPr>
              <w:t>5</w:t>
            </w:r>
            <w:r w:rsidR="0006342F">
              <w:rPr>
                <w:b/>
                <w:bCs/>
                <w:sz w:val="24"/>
                <w:szCs w:val="24"/>
              </w:rPr>
              <w:fldChar w:fldCharType="end"/>
            </w:r>
            <w:r w:rsidR="0006342F">
              <w:rPr>
                <w:lang w:val="es-ES"/>
              </w:rPr>
              <w:t xml:space="preserve"> de </w:t>
            </w:r>
            <w:r w:rsidR="0006342F">
              <w:rPr>
                <w:b/>
                <w:bCs/>
                <w:sz w:val="24"/>
                <w:szCs w:val="24"/>
              </w:rPr>
              <w:fldChar w:fldCharType="begin"/>
            </w:r>
            <w:r w:rsidR="0006342F">
              <w:rPr>
                <w:b/>
                <w:bCs/>
              </w:rPr>
              <w:instrText>NUMPAGES</w:instrText>
            </w:r>
            <w:r w:rsidR="0006342F">
              <w:rPr>
                <w:b/>
                <w:bCs/>
                <w:sz w:val="24"/>
                <w:szCs w:val="24"/>
              </w:rPr>
              <w:fldChar w:fldCharType="separate"/>
            </w:r>
            <w:r w:rsidR="00B3415C">
              <w:rPr>
                <w:b/>
                <w:bCs/>
                <w:noProof/>
              </w:rPr>
              <w:t>6</w:t>
            </w:r>
            <w:r w:rsidR="000634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342F" w:rsidRDefault="000634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D1" w:rsidRDefault="00022BD1" w:rsidP="0006342F">
      <w:pPr>
        <w:spacing w:after="0" w:line="240" w:lineRule="auto"/>
      </w:pPr>
      <w:r>
        <w:separator/>
      </w:r>
    </w:p>
  </w:footnote>
  <w:footnote w:type="continuationSeparator" w:id="0">
    <w:p w:rsidR="00022BD1" w:rsidRDefault="00022BD1" w:rsidP="0006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F3" w:rsidRDefault="00B53DF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8170A60" wp14:editId="16F5C7F0">
          <wp:simplePos x="0" y="0"/>
          <wp:positionH relativeFrom="column">
            <wp:posOffset>9857740</wp:posOffset>
          </wp:positionH>
          <wp:positionV relativeFrom="paragraph">
            <wp:posOffset>43493</wp:posOffset>
          </wp:positionV>
          <wp:extent cx="1743075" cy="463550"/>
          <wp:effectExtent l="0" t="0" r="0" b="0"/>
          <wp:wrapTight wrapText="bothSides">
            <wp:wrapPolygon edited="0">
              <wp:start x="944" y="0"/>
              <wp:lineTo x="944" y="17753"/>
              <wp:lineTo x="11095" y="19529"/>
              <wp:lineTo x="16525" y="19529"/>
              <wp:lineTo x="21010" y="17753"/>
              <wp:lineTo x="21010" y="7101"/>
              <wp:lineTo x="16525" y="0"/>
              <wp:lineTo x="944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EA07D48" wp14:editId="6DF3412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981200" cy="420370"/>
          <wp:effectExtent l="0" t="0" r="0" b="0"/>
          <wp:wrapTight wrapText="bothSides">
            <wp:wrapPolygon edited="0">
              <wp:start x="0" y="0"/>
              <wp:lineTo x="0" y="20556"/>
              <wp:lineTo x="623" y="20556"/>
              <wp:lineTo x="20977" y="20556"/>
              <wp:lineTo x="21392" y="17619"/>
              <wp:lineTo x="21185" y="5873"/>
              <wp:lineTo x="2097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17ADC"/>
    <w:multiLevelType w:val="hybridMultilevel"/>
    <w:tmpl w:val="21A8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D6"/>
    <w:rsid w:val="00022BD1"/>
    <w:rsid w:val="0006342F"/>
    <w:rsid w:val="000B72FF"/>
    <w:rsid w:val="000D7AC1"/>
    <w:rsid w:val="001272CC"/>
    <w:rsid w:val="001A7A93"/>
    <w:rsid w:val="001B6C48"/>
    <w:rsid w:val="002653D9"/>
    <w:rsid w:val="00270CD5"/>
    <w:rsid w:val="00282F8A"/>
    <w:rsid w:val="00304F10"/>
    <w:rsid w:val="00305ACA"/>
    <w:rsid w:val="003509ED"/>
    <w:rsid w:val="005323FE"/>
    <w:rsid w:val="00556E03"/>
    <w:rsid w:val="00564256"/>
    <w:rsid w:val="005D4C44"/>
    <w:rsid w:val="005D529E"/>
    <w:rsid w:val="00610CE5"/>
    <w:rsid w:val="00713489"/>
    <w:rsid w:val="007320AC"/>
    <w:rsid w:val="008268EB"/>
    <w:rsid w:val="00896E22"/>
    <w:rsid w:val="0095048D"/>
    <w:rsid w:val="009544F0"/>
    <w:rsid w:val="00970D36"/>
    <w:rsid w:val="00A01ED6"/>
    <w:rsid w:val="00A42D34"/>
    <w:rsid w:val="00A920A4"/>
    <w:rsid w:val="00B24553"/>
    <w:rsid w:val="00B3415C"/>
    <w:rsid w:val="00B53DF3"/>
    <w:rsid w:val="00B6094C"/>
    <w:rsid w:val="00B7210C"/>
    <w:rsid w:val="00BE3FB8"/>
    <w:rsid w:val="00C07A9A"/>
    <w:rsid w:val="00C10EA7"/>
    <w:rsid w:val="00C2709C"/>
    <w:rsid w:val="00C46EBE"/>
    <w:rsid w:val="00CA1910"/>
    <w:rsid w:val="00D94AD2"/>
    <w:rsid w:val="00DC4DF8"/>
    <w:rsid w:val="00E64B34"/>
    <w:rsid w:val="00EA670C"/>
    <w:rsid w:val="00F84DC2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B480E0E-4130-4530-9145-CA9BC641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3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42F"/>
  </w:style>
  <w:style w:type="paragraph" w:styleId="Piedepgina">
    <w:name w:val="footer"/>
    <w:basedOn w:val="Normal"/>
    <w:link w:val="PiedepginaCar"/>
    <w:uiPriority w:val="99"/>
    <w:unhideWhenUsed/>
    <w:rsid w:val="00063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51F6-A0E8-40BE-A3B7-CBD05857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2223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HERNANDEZ DE LA ROSA</dc:creator>
  <cp:keywords/>
  <dc:description/>
  <cp:lastModifiedBy>EDUARDO HERNANDEZ DE LA ROSA</cp:lastModifiedBy>
  <cp:revision>3</cp:revision>
  <dcterms:created xsi:type="dcterms:W3CDTF">2019-01-23T01:46:00Z</dcterms:created>
  <dcterms:modified xsi:type="dcterms:W3CDTF">2019-01-23T19:02:00Z</dcterms:modified>
</cp:coreProperties>
</file>